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28" w:rsidRPr="00DC4D5C" w:rsidRDefault="00313800" w:rsidP="009314A4">
      <w:pPr>
        <w:pStyle w:val="Heading2"/>
        <w:spacing w:before="120" w:line="360" w:lineRule="auto"/>
        <w:ind w:left="709" w:right="686"/>
        <w:rPr>
          <w:rFonts w:ascii="Microsoft JhengHei" w:eastAsia="Microsoft JhengHei" w:hAnsi="Microsoft JhengHei" w:cs="Arial"/>
          <w:color w:val="auto"/>
          <w:sz w:val="48"/>
          <w:szCs w:val="48"/>
        </w:rPr>
      </w:pPr>
      <w:r w:rsidRPr="00DC4D5C">
        <w:rPr>
          <w:rFonts w:ascii="Microsoft JhengHei" w:eastAsia="Microsoft JhengHei" w:hAnsi="Microsoft JhengHei" w:cs="Arial"/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27A155" wp14:editId="76651A9C">
                <wp:simplePos x="0" y="0"/>
                <wp:positionH relativeFrom="page">
                  <wp:posOffset>325755</wp:posOffset>
                </wp:positionH>
                <wp:positionV relativeFrom="paragraph">
                  <wp:posOffset>-462810</wp:posOffset>
                </wp:positionV>
                <wp:extent cx="6891655" cy="857250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655" cy="857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5D9" w:rsidRDefault="006635D9" w:rsidP="00663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A155" id="Rectangle 6" o:spid="_x0000_s1026" style="position:absolute;left:0;text-align:left;margin-left:25.65pt;margin-top:-36.45pt;width:542.65pt;height:67.5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" fillcolor="#ffc000" stroked="f" strokeweight="2pt">
                <v:textbox>
                  <w:txbxContent>
                    <w:p w:rsidR="006635D9" w:rsidRDefault="006635D9" w:rsidP="006635D9"/>
                  </w:txbxContent>
                </v:textbox>
                <w10:wrap anchorx="page"/>
              </v:rect>
            </w:pict>
          </mc:Fallback>
        </mc:AlternateContent>
      </w:r>
      <w:r w:rsidRPr="00DC4D5C">
        <w:rPr>
          <w:rFonts w:ascii="Arial" w:hAnsi="Arial" w:cs="Arial"/>
          <w:noProof/>
          <w:color w:val="auto"/>
          <w:sz w:val="32"/>
          <w:szCs w:val="24"/>
        </w:rPr>
        <w:t>Making Requests for Proposals (RFP) work for you</w:t>
      </w:r>
    </w:p>
    <w:p w:rsidR="00313800" w:rsidRPr="00C30FC8" w:rsidRDefault="00313800" w:rsidP="002F14D4">
      <w:pPr>
        <w:spacing w:line="360" w:lineRule="auto"/>
        <w:ind w:left="567" w:right="543"/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3800" w:rsidRPr="00313800" w:rsidRDefault="00313800" w:rsidP="00DA5CE0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313800">
        <w:rPr>
          <w:rFonts w:ascii="Arial" w:hAnsi="Arial" w:cs="Arial"/>
          <w:b/>
          <w:lang w:val="en-US"/>
        </w:rPr>
        <w:t>Is a RFP the best way forward?</w:t>
      </w:r>
      <w:r>
        <w:rPr>
          <w:rFonts w:ascii="Arial" w:hAnsi="Arial" w:cs="Arial"/>
          <w:b/>
          <w:lang w:val="en-US"/>
        </w:rPr>
        <w:br/>
      </w:r>
      <w:r>
        <w:rPr>
          <w:rFonts w:ascii="Arial" w:hAnsi="Arial" w:cs="Arial"/>
          <w:b/>
          <w:lang w:val="en-US"/>
        </w:rPr>
        <w:br/>
      </w:r>
      <w:r w:rsidRPr="00313800">
        <w:rPr>
          <w:rFonts w:ascii="Arial" w:hAnsi="Arial" w:cs="Arial"/>
          <w:lang w:val="en-US"/>
        </w:rPr>
        <w:t xml:space="preserve">Ensure you know the </w:t>
      </w:r>
      <w:bookmarkStart w:id="0" w:name="_GoBack"/>
      <w:bookmarkEnd w:id="0"/>
      <w:r w:rsidRPr="00313800">
        <w:rPr>
          <w:rFonts w:ascii="Arial" w:hAnsi="Arial" w:cs="Arial"/>
          <w:lang w:val="en-US"/>
        </w:rPr>
        <w:t>market and the product thoroughly before issuing a request for proposal. If this is not the case, consider first issuing a Request for Information (RFI) to gather information on possible solutions.</w:t>
      </w:r>
    </w:p>
    <w:p w:rsidR="00313800" w:rsidRPr="00AB2086" w:rsidRDefault="00313800" w:rsidP="00313800">
      <w:pPr>
        <w:ind w:right="261"/>
        <w:rPr>
          <w:rFonts w:ascii="Arial" w:hAnsi="Arial" w:cs="Arial"/>
          <w:lang w:val="en-US"/>
        </w:rPr>
      </w:pPr>
    </w:p>
    <w:p w:rsidR="00313800" w:rsidRDefault="00313800" w:rsidP="00567C08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313800">
        <w:rPr>
          <w:rFonts w:ascii="Arial" w:hAnsi="Arial" w:cs="Arial"/>
          <w:b/>
          <w:lang w:val="en-US"/>
        </w:rPr>
        <w:t>Protect your confidential information</w:t>
      </w:r>
      <w:r w:rsidRPr="00313800">
        <w:rPr>
          <w:rFonts w:ascii="Arial" w:hAnsi="Arial" w:cs="Arial"/>
          <w:b/>
          <w:lang w:val="en-US"/>
        </w:rPr>
        <w:br/>
      </w:r>
      <w:r w:rsidRPr="00313800">
        <w:rPr>
          <w:rFonts w:ascii="Arial" w:hAnsi="Arial" w:cs="Arial"/>
          <w:b/>
          <w:lang w:val="en-US"/>
        </w:rPr>
        <w:br/>
      </w:r>
      <w:proofErr w:type="gramStart"/>
      <w:r w:rsidRPr="00313800">
        <w:rPr>
          <w:rFonts w:ascii="Arial" w:hAnsi="Arial" w:cs="Arial"/>
          <w:lang w:val="en-US"/>
        </w:rPr>
        <w:t>A</w:t>
      </w:r>
      <w:proofErr w:type="gramEnd"/>
      <w:r w:rsidRPr="00313800">
        <w:rPr>
          <w:rFonts w:ascii="Arial" w:hAnsi="Arial" w:cs="Arial"/>
          <w:lang w:val="en-US"/>
        </w:rPr>
        <w:t xml:space="preserve"> confidentiality statement in a RFP is not enough to protect confidential information disclosed within the document. Acceptance of the statement does not occur until a proposal has been tendered. Protect your confidential information by having a confidentiality agreement signed – prior to issuing the RFP to any interested party.</w:t>
      </w:r>
    </w:p>
    <w:p w:rsidR="00313800" w:rsidRPr="00313800" w:rsidRDefault="00313800" w:rsidP="00313800">
      <w:pPr>
        <w:rPr>
          <w:rFonts w:ascii="Arial" w:hAnsi="Arial" w:cs="Arial"/>
          <w:b/>
          <w:lang w:val="en-US"/>
        </w:rPr>
      </w:pPr>
    </w:p>
    <w:p w:rsidR="00313800" w:rsidRPr="00313800" w:rsidRDefault="00313800" w:rsidP="00567C08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313800">
        <w:rPr>
          <w:rFonts w:ascii="Arial" w:hAnsi="Arial" w:cs="Arial"/>
          <w:b/>
          <w:lang w:val="en-US"/>
        </w:rPr>
        <w:t>Does your RFP protect you?</w:t>
      </w:r>
      <w:r w:rsidRPr="00313800">
        <w:rPr>
          <w:rFonts w:ascii="Arial" w:hAnsi="Arial" w:cs="Arial"/>
          <w:b/>
          <w:lang w:val="en-US"/>
        </w:rPr>
        <w:br/>
      </w:r>
      <w:r w:rsidRPr="00313800">
        <w:rPr>
          <w:rFonts w:ascii="Arial" w:hAnsi="Arial" w:cs="Arial"/>
          <w:b/>
          <w:lang w:val="en-US"/>
        </w:rPr>
        <w:br/>
      </w:r>
      <w:r w:rsidRPr="00313800">
        <w:rPr>
          <w:rFonts w:ascii="Arial" w:hAnsi="Arial" w:cs="Arial"/>
          <w:lang w:val="en-US"/>
        </w:rPr>
        <w:t>An effective RFP is one which allows flexibility. It should be drafted to allow:</w:t>
      </w:r>
      <w:r w:rsidRPr="00313800">
        <w:rPr>
          <w:rFonts w:ascii="Arial" w:hAnsi="Arial" w:cs="Arial"/>
          <w:lang w:val="en-US"/>
        </w:rPr>
        <w:br/>
      </w:r>
    </w:p>
    <w:p w:rsidR="00313800" w:rsidRPr="00AB2086" w:rsidRDefault="00313800" w:rsidP="00313800">
      <w:pPr>
        <w:numPr>
          <w:ilvl w:val="0"/>
          <w:numId w:val="5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Non-complying bids to be accepted</w:t>
      </w:r>
    </w:p>
    <w:p w:rsidR="00313800" w:rsidRPr="00AB2086" w:rsidRDefault="00313800" w:rsidP="00313800">
      <w:pPr>
        <w:numPr>
          <w:ilvl w:val="0"/>
          <w:numId w:val="5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The ability to change, terminate or halt the process at any time at your own discretion</w:t>
      </w:r>
    </w:p>
    <w:p w:rsidR="00313800" w:rsidRPr="00AB2086" w:rsidRDefault="00313800" w:rsidP="00313800">
      <w:pPr>
        <w:numPr>
          <w:ilvl w:val="0"/>
          <w:numId w:val="5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Limitation of your liability</w:t>
      </w:r>
    </w:p>
    <w:p w:rsidR="00313800" w:rsidRPr="00AB2086" w:rsidRDefault="00313800" w:rsidP="00313800">
      <w:pPr>
        <w:numPr>
          <w:ilvl w:val="0"/>
          <w:numId w:val="5"/>
        </w:numPr>
        <w:spacing w:after="0" w:line="240" w:lineRule="auto"/>
        <w:ind w:right="261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 xml:space="preserve">Specifics regarding the negotiation and selection process – as long as you are prepared to be bound to this. </w:t>
      </w:r>
    </w:p>
    <w:p w:rsidR="00313800" w:rsidRPr="00AB2086" w:rsidRDefault="00313800" w:rsidP="00313800">
      <w:pPr>
        <w:ind w:left="360" w:right="261"/>
        <w:rPr>
          <w:rFonts w:ascii="Arial" w:hAnsi="Arial" w:cs="Arial"/>
          <w:lang w:val="en-US"/>
        </w:rPr>
      </w:pPr>
    </w:p>
    <w:p w:rsidR="00313800" w:rsidRPr="00313800" w:rsidRDefault="00313800" w:rsidP="00313800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b/>
          <w:lang w:val="en-US"/>
        </w:rPr>
      </w:pPr>
      <w:r w:rsidRPr="00BA2381">
        <w:rPr>
          <w:rFonts w:ascii="Arial" w:hAnsi="Arial" w:cs="Arial"/>
          <w:b/>
          <w:lang w:val="en-US"/>
        </w:rPr>
        <w:t>Should the contract be attached to the RFP?</w:t>
      </w:r>
      <w:r>
        <w:rPr>
          <w:rFonts w:ascii="Arial" w:hAnsi="Arial" w:cs="Arial"/>
          <w:b/>
          <w:lang w:val="en-US"/>
        </w:rPr>
        <w:br/>
      </w:r>
    </w:p>
    <w:p w:rsidR="00313800" w:rsidRPr="00AB2086" w:rsidRDefault="00313800" w:rsidP="00313800">
      <w:pPr>
        <w:ind w:left="720" w:right="261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Unless the contract has been specifically tailored to the RFP, think twice before you attach it. You may find later that you are bound to a contract which is too broad and does not effectively serve your purposes.</w:t>
      </w:r>
      <w:r>
        <w:rPr>
          <w:rFonts w:ascii="Arial" w:hAnsi="Arial" w:cs="Arial"/>
          <w:lang w:val="en-US"/>
        </w:rPr>
        <w:br/>
      </w:r>
    </w:p>
    <w:p w:rsidR="00313800" w:rsidRPr="00313800" w:rsidRDefault="00313800" w:rsidP="00313800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b/>
          <w:lang w:val="en-US"/>
        </w:rPr>
      </w:pPr>
      <w:r w:rsidRPr="00BA2381">
        <w:rPr>
          <w:rFonts w:ascii="Arial" w:hAnsi="Arial" w:cs="Arial"/>
          <w:b/>
          <w:lang w:val="en-US"/>
        </w:rPr>
        <w:t>Do not breach the suppliers’ confidentiality in responses to RFPs</w:t>
      </w:r>
      <w:r>
        <w:rPr>
          <w:rFonts w:ascii="Arial" w:hAnsi="Arial" w:cs="Arial"/>
          <w:b/>
          <w:lang w:val="en-US"/>
        </w:rPr>
        <w:br/>
      </w:r>
    </w:p>
    <w:p w:rsidR="00313800" w:rsidRPr="00AB2086" w:rsidRDefault="00313800" w:rsidP="00313800">
      <w:pPr>
        <w:numPr>
          <w:ilvl w:val="3"/>
          <w:numId w:val="4"/>
        </w:numPr>
        <w:tabs>
          <w:tab w:val="num" w:pos="1418"/>
        </w:tabs>
        <w:spacing w:after="0" w:line="240" w:lineRule="auto"/>
        <w:ind w:left="1418" w:right="261" w:hanging="284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Make sure your evaluation teams properly understand the concepts of confidentiality and intellectual property</w:t>
      </w:r>
    </w:p>
    <w:p w:rsidR="00313800" w:rsidRPr="00AB2086" w:rsidRDefault="00313800" w:rsidP="00313800">
      <w:pPr>
        <w:numPr>
          <w:ilvl w:val="3"/>
          <w:numId w:val="4"/>
        </w:numPr>
        <w:tabs>
          <w:tab w:val="num" w:pos="1418"/>
        </w:tabs>
        <w:spacing w:after="0" w:line="240" w:lineRule="auto"/>
        <w:ind w:left="1418" w:right="261" w:hanging="284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 xml:space="preserve"> Don’t identify any of the potential suppliers to each other during negotiations – either directly or by making them easily identifiable. </w:t>
      </w:r>
    </w:p>
    <w:p w:rsidR="00313800" w:rsidRPr="00AB2086" w:rsidRDefault="00313800" w:rsidP="00313800">
      <w:pPr>
        <w:ind w:left="360" w:right="261"/>
        <w:rPr>
          <w:rFonts w:ascii="Arial" w:hAnsi="Arial" w:cs="Arial"/>
          <w:lang w:val="en-US"/>
        </w:rPr>
      </w:pPr>
    </w:p>
    <w:p w:rsidR="00313800" w:rsidRPr="00313800" w:rsidRDefault="00313800" w:rsidP="00313800">
      <w:pPr>
        <w:numPr>
          <w:ilvl w:val="0"/>
          <w:numId w:val="4"/>
        </w:numPr>
        <w:spacing w:after="0" w:line="240" w:lineRule="auto"/>
        <w:ind w:right="261"/>
        <w:rPr>
          <w:rFonts w:ascii="Arial" w:hAnsi="Arial" w:cs="Arial"/>
          <w:b/>
          <w:lang w:val="en-US"/>
        </w:rPr>
      </w:pPr>
      <w:r w:rsidRPr="00BA2381">
        <w:rPr>
          <w:rFonts w:ascii="Arial" w:hAnsi="Arial" w:cs="Arial"/>
          <w:b/>
          <w:lang w:val="en-US"/>
        </w:rPr>
        <w:t>Assessment of bids</w:t>
      </w:r>
      <w:r>
        <w:rPr>
          <w:rFonts w:ascii="Arial" w:hAnsi="Arial" w:cs="Arial"/>
          <w:b/>
          <w:lang w:val="en-US"/>
        </w:rPr>
        <w:br/>
      </w:r>
    </w:p>
    <w:p w:rsidR="00313800" w:rsidRPr="00AB2086" w:rsidRDefault="00313800" w:rsidP="00313800">
      <w:pPr>
        <w:numPr>
          <w:ilvl w:val="3"/>
          <w:numId w:val="4"/>
        </w:numPr>
        <w:tabs>
          <w:tab w:val="num" w:pos="1418"/>
        </w:tabs>
        <w:spacing w:after="0" w:line="240" w:lineRule="auto"/>
        <w:ind w:right="261" w:hanging="1746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Assess all bid consistently according to the data supplied in the RFP</w:t>
      </w:r>
    </w:p>
    <w:p w:rsidR="00313800" w:rsidRPr="00AB2086" w:rsidRDefault="00313800" w:rsidP="00313800">
      <w:pPr>
        <w:numPr>
          <w:ilvl w:val="3"/>
          <w:numId w:val="4"/>
        </w:numPr>
        <w:tabs>
          <w:tab w:val="num" w:pos="1418"/>
        </w:tabs>
        <w:spacing w:after="0" w:line="240" w:lineRule="auto"/>
        <w:ind w:left="1418" w:right="261" w:hanging="284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Document all decision making steps – to prevent any litigation by unsuccessful suppliers.</w:t>
      </w:r>
    </w:p>
    <w:p w:rsidR="0003537A" w:rsidRPr="00313800" w:rsidRDefault="00313800" w:rsidP="00313800">
      <w:pPr>
        <w:numPr>
          <w:ilvl w:val="3"/>
          <w:numId w:val="4"/>
        </w:numPr>
        <w:tabs>
          <w:tab w:val="num" w:pos="1418"/>
        </w:tabs>
        <w:spacing w:after="0" w:line="240" w:lineRule="auto"/>
        <w:ind w:left="1418" w:right="261" w:hanging="284"/>
        <w:rPr>
          <w:rFonts w:ascii="Arial" w:hAnsi="Arial" w:cs="Arial"/>
          <w:lang w:val="en-US"/>
        </w:rPr>
      </w:pPr>
      <w:r w:rsidRPr="00AB2086">
        <w:rPr>
          <w:rFonts w:ascii="Arial" w:hAnsi="Arial" w:cs="Arial"/>
          <w:lang w:val="en-US"/>
        </w:rPr>
        <w:t>Don’t announce the successful supplier until the contract is signed and delivered to you.</w:t>
      </w:r>
    </w:p>
    <w:sectPr w:rsidR="0003537A" w:rsidRPr="00313800" w:rsidSect="00313800">
      <w:footerReference w:type="default" r:id="rId7"/>
      <w:pgSz w:w="11906" w:h="16838"/>
      <w:pgMar w:top="1276" w:right="1440" w:bottom="1440" w:left="1134" w:header="708" w:footer="708" w:gutter="0"/>
      <w:pgBorders w:offsetFrom="page">
        <w:top w:val="single" w:sz="48" w:space="24" w:color="141754"/>
        <w:left w:val="single" w:sz="48" w:space="24" w:color="141754"/>
        <w:bottom w:val="single" w:sz="48" w:space="24" w:color="141754"/>
        <w:right w:val="single" w:sz="48" w:space="24" w:color="14175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5C" w:rsidRDefault="004B085C" w:rsidP="004B085C">
      <w:pPr>
        <w:spacing w:after="0" w:line="240" w:lineRule="auto"/>
      </w:pPr>
      <w:r>
        <w:separator/>
      </w:r>
    </w:p>
  </w:endnote>
  <w:endnote w:type="continuationSeparator" w:id="0">
    <w:p w:rsidR="004B085C" w:rsidRDefault="004B085C" w:rsidP="004B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4C" w:rsidRDefault="00150F4C">
    <w:pPr>
      <w:pStyle w:val="Footer"/>
    </w:pPr>
    <w:r w:rsidRPr="00313800">
      <w:rPr>
        <w:rFonts w:ascii="Arial" w:hAnsi="Arial" w:cs="Arial"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6CEE845A" wp14:editId="15586AC2">
          <wp:simplePos x="0" y="0"/>
          <wp:positionH relativeFrom="margin">
            <wp:posOffset>3766185</wp:posOffset>
          </wp:positionH>
          <wp:positionV relativeFrom="paragraph">
            <wp:posOffset>-548640</wp:posOffset>
          </wp:positionV>
          <wp:extent cx="2580640" cy="659765"/>
          <wp:effectExtent l="0" t="0" r="0" b="6985"/>
          <wp:wrapSquare wrapText="bothSides"/>
          <wp:docPr id="192" name="Picture 192" descr="L:\Marketing\ASCA Logos &amp; Signatures\AS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arketing\ASCA Logos &amp; Signatures\ASC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5C" w:rsidRDefault="004B085C" w:rsidP="004B085C">
      <w:pPr>
        <w:spacing w:after="0" w:line="240" w:lineRule="auto"/>
      </w:pPr>
      <w:r>
        <w:separator/>
      </w:r>
    </w:p>
  </w:footnote>
  <w:footnote w:type="continuationSeparator" w:id="0">
    <w:p w:rsidR="004B085C" w:rsidRDefault="004B085C" w:rsidP="004B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DD7"/>
    <w:multiLevelType w:val="hybridMultilevel"/>
    <w:tmpl w:val="CEBC76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3FB1"/>
    <w:multiLevelType w:val="hybridMultilevel"/>
    <w:tmpl w:val="37C8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199"/>
    <w:multiLevelType w:val="hybridMultilevel"/>
    <w:tmpl w:val="CB2A8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2B0"/>
    <w:multiLevelType w:val="hybridMultilevel"/>
    <w:tmpl w:val="900ED862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568B13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D28B9"/>
    <w:multiLevelType w:val="hybridMultilevel"/>
    <w:tmpl w:val="EFA8A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28"/>
    <w:rsid w:val="0003537A"/>
    <w:rsid w:val="0005040A"/>
    <w:rsid w:val="00057528"/>
    <w:rsid w:val="000C62BF"/>
    <w:rsid w:val="001036F7"/>
    <w:rsid w:val="00150F4C"/>
    <w:rsid w:val="001576CC"/>
    <w:rsid w:val="00167E31"/>
    <w:rsid w:val="001C0B3E"/>
    <w:rsid w:val="00217304"/>
    <w:rsid w:val="00224E4B"/>
    <w:rsid w:val="00277D00"/>
    <w:rsid w:val="002B03D7"/>
    <w:rsid w:val="002F0AE4"/>
    <w:rsid w:val="002F14D4"/>
    <w:rsid w:val="00301C7F"/>
    <w:rsid w:val="0031329B"/>
    <w:rsid w:val="00313800"/>
    <w:rsid w:val="0038502D"/>
    <w:rsid w:val="004103D0"/>
    <w:rsid w:val="004B085C"/>
    <w:rsid w:val="004C06EF"/>
    <w:rsid w:val="004C6928"/>
    <w:rsid w:val="004F2482"/>
    <w:rsid w:val="00517F4D"/>
    <w:rsid w:val="00566278"/>
    <w:rsid w:val="00585707"/>
    <w:rsid w:val="005B3264"/>
    <w:rsid w:val="005D2938"/>
    <w:rsid w:val="005E4591"/>
    <w:rsid w:val="00632C48"/>
    <w:rsid w:val="006635D9"/>
    <w:rsid w:val="007617D7"/>
    <w:rsid w:val="00791D07"/>
    <w:rsid w:val="007B7C7A"/>
    <w:rsid w:val="007F6C9E"/>
    <w:rsid w:val="00802179"/>
    <w:rsid w:val="0081173E"/>
    <w:rsid w:val="00840AAA"/>
    <w:rsid w:val="008425DD"/>
    <w:rsid w:val="00887EFF"/>
    <w:rsid w:val="008D2B39"/>
    <w:rsid w:val="009314A4"/>
    <w:rsid w:val="00933A07"/>
    <w:rsid w:val="00955E61"/>
    <w:rsid w:val="00960258"/>
    <w:rsid w:val="009A6046"/>
    <w:rsid w:val="009C495F"/>
    <w:rsid w:val="009F7863"/>
    <w:rsid w:val="00A70905"/>
    <w:rsid w:val="00A70A2C"/>
    <w:rsid w:val="00A75AF6"/>
    <w:rsid w:val="00AB4EDB"/>
    <w:rsid w:val="00B254DF"/>
    <w:rsid w:val="00B3258F"/>
    <w:rsid w:val="00B53545"/>
    <w:rsid w:val="00B766BA"/>
    <w:rsid w:val="00BF226D"/>
    <w:rsid w:val="00C30FC8"/>
    <w:rsid w:val="00C450A8"/>
    <w:rsid w:val="00C65990"/>
    <w:rsid w:val="00C7240F"/>
    <w:rsid w:val="00C847C1"/>
    <w:rsid w:val="00C86134"/>
    <w:rsid w:val="00CD073E"/>
    <w:rsid w:val="00DB43A1"/>
    <w:rsid w:val="00DC4D5C"/>
    <w:rsid w:val="00DF7D19"/>
    <w:rsid w:val="00E250C6"/>
    <w:rsid w:val="00E87CFC"/>
    <w:rsid w:val="00EF03E4"/>
    <w:rsid w:val="00F64145"/>
    <w:rsid w:val="00F64EC9"/>
    <w:rsid w:val="00F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9BFF43C-D297-48CF-B76C-6A8DB2B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92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NormalWeb">
    <w:name w:val="Normal (Web)"/>
    <w:basedOn w:val="Normal"/>
    <w:uiPriority w:val="99"/>
    <w:unhideWhenUsed/>
    <w:rsid w:val="004C692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B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5C"/>
  </w:style>
  <w:style w:type="paragraph" w:styleId="Footer">
    <w:name w:val="footer"/>
    <w:basedOn w:val="Normal"/>
    <w:link w:val="FooterChar"/>
    <w:uiPriority w:val="99"/>
    <w:unhideWhenUsed/>
    <w:rsid w:val="004B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85C"/>
  </w:style>
  <w:style w:type="paragraph" w:styleId="BalloonText">
    <w:name w:val="Balloon Text"/>
    <w:basedOn w:val="Normal"/>
    <w:link w:val="BalloonTextChar"/>
    <w:uiPriority w:val="99"/>
    <w:semiHidden/>
    <w:unhideWhenUsed/>
    <w:rsid w:val="0030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Biscuits Recipe - ASCA</vt:lpstr>
    </vt:vector>
  </TitlesOfParts>
  <Company>HP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Biscuits Recipe - ASCA</dc:title>
  <dc:creator>Office@asca.com.au</dc:creator>
  <cp:keywords>anzac, biscuits, ASCA, recipe, australia, canteens, schools,</cp:keywords>
  <cp:lastModifiedBy>Gerard Kemp</cp:lastModifiedBy>
  <cp:revision>11</cp:revision>
  <cp:lastPrinted>2014-04-02T01:05:00Z</cp:lastPrinted>
  <dcterms:created xsi:type="dcterms:W3CDTF">2014-04-02T00:25:00Z</dcterms:created>
  <dcterms:modified xsi:type="dcterms:W3CDTF">2014-04-02T01:05:00Z</dcterms:modified>
</cp:coreProperties>
</file>