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E7" w:rsidRPr="00F61FDE" w:rsidRDefault="00F61FDE" w:rsidP="00F61FDE">
      <w:pPr>
        <w:pStyle w:val="Title"/>
        <w:jc w:val="center"/>
        <w:rPr>
          <w:rFonts w:ascii="Arial" w:hAnsi="Arial"/>
          <w:b/>
          <w:sz w:val="48"/>
          <w:szCs w:val="48"/>
        </w:rPr>
      </w:pPr>
      <w:r w:rsidRPr="00F61FDE">
        <w:rPr>
          <w:rFonts w:ascii="Arial" w:eastAsia="Microsoft JhengHei" w:hAnsi="Arial" w:cs="Arial"/>
          <w:b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2B191C" wp14:editId="696F1B17">
                <wp:simplePos x="0" y="0"/>
                <wp:positionH relativeFrom="page">
                  <wp:posOffset>342900</wp:posOffset>
                </wp:positionH>
                <wp:positionV relativeFrom="paragraph">
                  <wp:posOffset>-476885</wp:posOffset>
                </wp:positionV>
                <wp:extent cx="10010775" cy="9334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0775" cy="933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FDE" w:rsidRDefault="00F61FDE" w:rsidP="00F61F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B191C" id="Rectangle 6" o:spid="_x0000_s1026" style="position:absolute;left:0;text-align:left;margin-left:27pt;margin-top:-37.55pt;width:788.25pt;height: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VgnAIAAJEFAAAOAAAAZHJzL2Uyb0RvYy54bWysVEtv2zAMvg/YfxB0X+2kSR9BnSJIkWFA&#10;0RZth54VWYoFyKImKbGzXz9KfrTrih2GXWRRJD+Sn0leXbe1JgfhvAJT0MlJTokwHEpldgX9/rz5&#10;ckGJD8yUTIMRBT0KT6+Xnz9dNXYhplCBLoUjCGL8orEFrUKwiyzzvBI18ydghUGlBFezgKLbZaVj&#10;DaLXOpvm+VnWgCutAy68x9ebTkmXCV9KwcO9lF4EoguKuYV0unRu45ktr9hi55itFO/TYP+QRc2U&#10;waAj1A0LjOyd+gOqVtyBBxlOONQZSKm4SDVgNZP8XTVPFbMi1YLkeDvS5P8fLL87PDiiyoKeUWJY&#10;jb/oEUljZqcFOYv0NNYv0OrJPrhe8niNtbbS1fGLVZA2UXocKRVtIBwfJzmWdX4+p4Sj8vL0dDZP&#10;pGev7tb58FVATeKloA7DJyrZ4dYHDImmg0mM5kGrcqO0ToLbbdfakQPD/7vZrPN8QP/NTJtobCC6&#10;dYjxJYuldcWkWzhqEe20eRQSOcH0pymT1I1ijMM4FyZMOlXFStGFn2PwMXrs3+iR0k+AEVli/BG7&#10;BxgsO5ABu8uyt4+uIjXz6Jz/LbHOefRIkcGE0blWBtxHABqr6iN39gNJHTWRpdBuWzSJ1y2UR2we&#10;B91Uecs3Cn/hLfPhgTkcIxw4XA3hHg+poSko9DdKKnA/P3qP9tjdqKWkwbEsqP+xZ05Qor8Z7PvL&#10;yWwW5zgJs/n5FAX3VrN9qzH7eg3YGRNcQpana7QPerhKB/ULbpBVjIoqZjjGLigPbhDWoVsXuIO4&#10;WK2SGc6uZeHWPFkewSPBsUWf2xfmbN/HAUfgDoYRZot37dzZRk8Dq30AqVKvv/LaU49zn3qo31Fx&#10;sbyVk9XrJl3+AgAA//8DAFBLAwQUAAYACAAAACEAMhDVH+IAAAAKAQAADwAAAGRycy9kb3ducmV2&#10;LnhtbEyPMU/DMBSEdyT+g/WQWFBrB5q2hDgVqlQJMSBoO3R07EcSJX6OYqcN/x53gvF0p7vv8s1k&#10;O3bGwTeOJCRzAQxJO9NQJeF42M3WwHxQZFTnCCX8oIdNcXuTq8y4C33heR8qFkvIZ0pCHUKfce51&#10;jVb5ueuRovftBqtClEPFzaAusdx2/FGIJbeqobhQqx63Nep2P1oJ7efD2+LjnZ+25djWO3HS7TrR&#10;Ut7fTa8vwAJO4S8MV/yIDkVkKt1IxrNOQrqIV4KE2SpNgF0DyyeRAislrJJn4EXO/18ofgEAAP//&#10;AwBQSwECLQAUAAYACAAAACEAtoM4kv4AAADhAQAAEwAAAAAAAAAAAAAAAAAAAAAAW0NvbnRlbnRf&#10;VHlwZXNdLnhtbFBLAQItABQABgAIAAAAIQA4/SH/1gAAAJQBAAALAAAAAAAAAAAAAAAAAC8BAABf&#10;cmVscy8ucmVsc1BLAQItABQABgAIAAAAIQCB4QVgnAIAAJEFAAAOAAAAAAAAAAAAAAAAAC4CAABk&#10;cnMvZTJvRG9jLnhtbFBLAQItABQABgAIAAAAIQAyENUf4gAAAAoBAAAPAAAAAAAAAAAAAAAAAPYE&#10;AABkcnMvZG93bnJldi54bWxQSwUGAAAAAAQABADzAAAABQYAAAAA&#10;" fillcolor="#ffc000" stroked="f" strokeweight="1pt">
                <v:textbox>
                  <w:txbxContent>
                    <w:p w:rsidR="00F61FDE" w:rsidRDefault="00F61FDE" w:rsidP="00F61FDE"/>
                  </w:txbxContent>
                </v:textbox>
                <w10:wrap anchorx="page"/>
              </v:rect>
            </w:pict>
          </mc:Fallback>
        </mc:AlternateContent>
      </w:r>
      <w:r w:rsidR="00D3526E" w:rsidRPr="00F61FDE">
        <w:rPr>
          <w:rFonts w:ascii="Arial" w:hAnsi="Arial"/>
          <w:b/>
          <w:sz w:val="48"/>
          <w:szCs w:val="48"/>
        </w:rPr>
        <w:t>Service Level Agreement</w:t>
      </w:r>
      <w:r w:rsidR="003848C8" w:rsidRPr="00F61FDE">
        <w:rPr>
          <w:rFonts w:ascii="Arial" w:hAnsi="Arial"/>
          <w:b/>
          <w:sz w:val="48"/>
          <w:szCs w:val="48"/>
        </w:rPr>
        <w:t xml:space="preserve"> – </w:t>
      </w:r>
      <w:r w:rsidR="00D3526E" w:rsidRPr="00F61FDE">
        <w:rPr>
          <w:rFonts w:ascii="Arial" w:hAnsi="Arial"/>
          <w:b/>
          <w:sz w:val="48"/>
          <w:szCs w:val="48"/>
        </w:rPr>
        <w:t>Performance</w:t>
      </w:r>
      <w:r w:rsidR="003848C8" w:rsidRPr="00F61FDE">
        <w:rPr>
          <w:rFonts w:ascii="Arial" w:hAnsi="Arial"/>
          <w:b/>
          <w:sz w:val="48"/>
          <w:szCs w:val="48"/>
        </w:rPr>
        <w:t xml:space="preserve"> </w:t>
      </w:r>
      <w:r w:rsidR="00D3526E" w:rsidRPr="00F61FDE">
        <w:rPr>
          <w:rFonts w:ascii="Arial" w:hAnsi="Arial"/>
          <w:b/>
          <w:sz w:val="48"/>
          <w:szCs w:val="48"/>
        </w:rPr>
        <w:t>Indicators</w:t>
      </w:r>
    </w:p>
    <w:p w:rsidR="000004E7" w:rsidRPr="00D3526E" w:rsidRDefault="000004E7">
      <w:pPr>
        <w:pStyle w:val="BodyTextIndent2"/>
        <w:jc w:val="center"/>
        <w:rPr>
          <w:rFonts w:ascii="Arial" w:hAnsi="Arial" w:cs="Arial"/>
          <w:sz w:val="36"/>
          <w:u w:val="single"/>
        </w:rPr>
      </w:pPr>
    </w:p>
    <w:tbl>
      <w:tblPr>
        <w:tblpPr w:leftFromText="180" w:rightFromText="180" w:vertAnchor="text" w:horzAnchor="margin" w:tblpXSpec="center" w:tblpY="366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831"/>
        <w:gridCol w:w="2273"/>
      </w:tblGrid>
      <w:tr w:rsidR="003848C8" w:rsidRPr="00D3526E" w:rsidTr="003848C8">
        <w:trPr>
          <w:trHeight w:val="699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3526E" w:rsidRPr="00D3526E" w:rsidRDefault="00D3526E" w:rsidP="00D3526E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D3526E">
              <w:rPr>
                <w:rFonts w:ascii="Arial" w:hAnsi="Arial" w:cs="Arial"/>
                <w:b/>
                <w:sz w:val="22"/>
              </w:rPr>
              <w:t>Key Result Area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3526E" w:rsidRPr="00D3526E" w:rsidRDefault="00D3526E" w:rsidP="00D3526E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D3526E">
              <w:rPr>
                <w:rFonts w:ascii="Arial" w:hAnsi="Arial" w:cs="Arial"/>
                <w:b/>
                <w:sz w:val="22"/>
              </w:rPr>
              <w:t>Key Performance Indicator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3526E" w:rsidRPr="00D3526E" w:rsidRDefault="00D3526E" w:rsidP="00D3526E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D3526E">
              <w:rPr>
                <w:rFonts w:ascii="Arial" w:hAnsi="Arial" w:cs="Arial"/>
                <w:b/>
                <w:sz w:val="22"/>
              </w:rPr>
              <w:t>Performance and time measure</w:t>
            </w:r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D3526E" w:rsidRPr="00D3526E" w:rsidRDefault="00D3526E" w:rsidP="00D3526E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D3526E">
              <w:rPr>
                <w:rFonts w:ascii="Arial" w:hAnsi="Arial" w:cs="Arial"/>
                <w:b/>
                <w:sz w:val="22"/>
              </w:rPr>
              <w:t>Target</w:t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:rsidR="00D3526E" w:rsidRPr="00D3526E" w:rsidRDefault="00D3526E" w:rsidP="00D3526E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D3526E">
              <w:rPr>
                <w:rFonts w:ascii="Arial" w:hAnsi="Arial" w:cs="Arial"/>
                <w:b/>
                <w:sz w:val="22"/>
              </w:rPr>
              <w:t>Responsibility</w:t>
            </w:r>
          </w:p>
        </w:tc>
      </w:tr>
      <w:tr w:rsidR="003848C8" w:rsidRPr="00D3526E" w:rsidTr="003848C8">
        <w:trPr>
          <w:trHeight w:val="839"/>
        </w:trPr>
        <w:tc>
          <w:tcPr>
            <w:tcW w:w="2551" w:type="dxa"/>
            <w:vMerge w:val="restart"/>
            <w:vAlign w:val="center"/>
          </w:tcPr>
          <w:p w:rsidR="003848C8" w:rsidRPr="003848C8" w:rsidRDefault="003848C8" w:rsidP="003848C8">
            <w:pPr>
              <w:pStyle w:val="BodyTextIndent2"/>
              <w:ind w:left="0"/>
              <w:jc w:val="center"/>
              <w:rPr>
                <w:rFonts w:ascii="Arial" w:hAnsi="Arial" w:cs="Arial"/>
                <w:b/>
              </w:rPr>
            </w:pPr>
            <w:r w:rsidRPr="003848C8">
              <w:rPr>
                <w:rFonts w:ascii="Arial" w:hAnsi="Arial" w:cs="Arial"/>
                <w:b/>
              </w:rPr>
              <w:t>Supply Management</w:t>
            </w:r>
          </w:p>
        </w:tc>
        <w:tc>
          <w:tcPr>
            <w:tcW w:w="2552" w:type="dxa"/>
          </w:tcPr>
          <w:p w:rsidR="003848C8" w:rsidRPr="00D3526E" w:rsidRDefault="003848C8" w:rsidP="00D3526E">
            <w:pPr>
              <w:pStyle w:val="BodyTextIndent2"/>
              <w:ind w:left="0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Delivery time</w:t>
            </w:r>
          </w:p>
        </w:tc>
        <w:tc>
          <w:tcPr>
            <w:tcW w:w="2551" w:type="dxa"/>
          </w:tcPr>
          <w:p w:rsidR="003848C8" w:rsidRPr="00D3526E" w:rsidRDefault="003848C8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Deliver chairs as agreed</w:t>
            </w:r>
            <w:r>
              <w:rPr>
                <w:rFonts w:ascii="Arial" w:hAnsi="Arial" w:cs="Arial"/>
                <w:i/>
                <w:iCs/>
              </w:rPr>
              <w:t xml:space="preserve"> (</w:t>
            </w:r>
            <w:r w:rsidRPr="00D3526E">
              <w:rPr>
                <w:rFonts w:ascii="Arial" w:hAnsi="Arial" w:cs="Arial"/>
                <w:i/>
                <w:iCs/>
              </w:rPr>
              <w:t>every Thursday at time organised)</w:t>
            </w:r>
          </w:p>
        </w:tc>
        <w:tc>
          <w:tcPr>
            <w:tcW w:w="2831" w:type="dxa"/>
          </w:tcPr>
          <w:p w:rsidR="003848C8" w:rsidRPr="00D3526E" w:rsidRDefault="003848C8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95% to occur within specified time frame</w:t>
            </w:r>
          </w:p>
        </w:tc>
        <w:tc>
          <w:tcPr>
            <w:tcW w:w="2273" w:type="dxa"/>
          </w:tcPr>
          <w:p w:rsidR="003848C8" w:rsidRPr="00D3526E" w:rsidRDefault="003848C8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Supplier</w:t>
            </w:r>
          </w:p>
        </w:tc>
      </w:tr>
      <w:tr w:rsidR="003848C8" w:rsidRPr="00D3526E" w:rsidTr="003848C8">
        <w:trPr>
          <w:trHeight w:val="849"/>
        </w:trPr>
        <w:tc>
          <w:tcPr>
            <w:tcW w:w="2551" w:type="dxa"/>
            <w:vMerge/>
            <w:vAlign w:val="center"/>
          </w:tcPr>
          <w:p w:rsidR="003848C8" w:rsidRPr="003848C8" w:rsidRDefault="003848C8" w:rsidP="003848C8">
            <w:pPr>
              <w:pStyle w:val="BodyTextIndent2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3848C8" w:rsidRPr="00D3526E" w:rsidRDefault="003848C8" w:rsidP="00D3526E">
            <w:pPr>
              <w:pStyle w:val="BodyTextIndent2"/>
              <w:ind w:left="0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Delivery accuracy</w:t>
            </w:r>
          </w:p>
        </w:tc>
        <w:tc>
          <w:tcPr>
            <w:tcW w:w="2551" w:type="dxa"/>
          </w:tcPr>
          <w:p w:rsidR="003848C8" w:rsidRPr="00D3526E" w:rsidRDefault="003848C8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Items and quantity ordered to be matched against actual delivery</w:t>
            </w:r>
          </w:p>
        </w:tc>
        <w:tc>
          <w:tcPr>
            <w:tcW w:w="2831" w:type="dxa"/>
          </w:tcPr>
          <w:p w:rsidR="003848C8" w:rsidRPr="00D3526E" w:rsidRDefault="003848C8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99% to match</w:t>
            </w:r>
          </w:p>
        </w:tc>
        <w:tc>
          <w:tcPr>
            <w:tcW w:w="2273" w:type="dxa"/>
          </w:tcPr>
          <w:p w:rsidR="003848C8" w:rsidRPr="00D3526E" w:rsidRDefault="003848C8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Supplier</w:t>
            </w:r>
          </w:p>
        </w:tc>
      </w:tr>
      <w:tr w:rsidR="00D3526E" w:rsidRPr="00D3526E" w:rsidTr="003848C8">
        <w:trPr>
          <w:trHeight w:val="1284"/>
        </w:trPr>
        <w:tc>
          <w:tcPr>
            <w:tcW w:w="2551" w:type="dxa"/>
            <w:vAlign w:val="center"/>
          </w:tcPr>
          <w:p w:rsidR="00D3526E" w:rsidRPr="003848C8" w:rsidRDefault="00D3526E" w:rsidP="003848C8">
            <w:pPr>
              <w:pStyle w:val="BodyTextIndent2"/>
              <w:ind w:left="0"/>
              <w:jc w:val="center"/>
              <w:rPr>
                <w:rFonts w:ascii="Arial" w:hAnsi="Arial" w:cs="Arial"/>
                <w:b/>
              </w:rPr>
            </w:pPr>
            <w:r w:rsidRPr="003848C8">
              <w:rPr>
                <w:rFonts w:ascii="Arial" w:hAnsi="Arial" w:cs="Arial"/>
                <w:b/>
              </w:rPr>
              <w:t>Stock</w:t>
            </w:r>
          </w:p>
        </w:tc>
        <w:tc>
          <w:tcPr>
            <w:tcW w:w="2552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Hold components of min of (</w:t>
            </w:r>
            <w:r w:rsidRPr="00D3526E">
              <w:rPr>
                <w:rFonts w:ascii="Arial" w:hAnsi="Arial" w:cs="Arial"/>
                <w:i/>
                <w:iCs/>
              </w:rPr>
              <w:t>42</w:t>
            </w:r>
            <w:r w:rsidRPr="00D3526E">
              <w:rPr>
                <w:rFonts w:ascii="Arial" w:hAnsi="Arial" w:cs="Arial"/>
              </w:rPr>
              <w:t>) chairs for sole use of MBL</w:t>
            </w:r>
          </w:p>
        </w:tc>
        <w:tc>
          <w:tcPr>
            <w:tcW w:w="2551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42 chairs to be available for delivery within 1 week. (</w:t>
            </w:r>
            <w:r w:rsidRPr="00D3526E">
              <w:rPr>
                <w:rFonts w:ascii="Arial" w:hAnsi="Arial" w:cs="Arial"/>
                <w:i/>
                <w:iCs/>
              </w:rPr>
              <w:t>this to apply  all year including holiday periods if required)</w:t>
            </w:r>
          </w:p>
        </w:tc>
        <w:tc>
          <w:tcPr>
            <w:tcW w:w="2831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 xml:space="preserve">98% of all orders to be delivered within 1 week. </w:t>
            </w:r>
          </w:p>
        </w:tc>
        <w:tc>
          <w:tcPr>
            <w:tcW w:w="2273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Supplier</w:t>
            </w:r>
          </w:p>
        </w:tc>
      </w:tr>
      <w:tr w:rsidR="00D3526E" w:rsidRPr="00D3526E" w:rsidTr="003848C8">
        <w:trPr>
          <w:trHeight w:val="832"/>
        </w:trPr>
        <w:tc>
          <w:tcPr>
            <w:tcW w:w="2551" w:type="dxa"/>
            <w:vAlign w:val="center"/>
          </w:tcPr>
          <w:p w:rsidR="00D3526E" w:rsidRPr="003848C8" w:rsidRDefault="00D3526E" w:rsidP="003848C8">
            <w:pPr>
              <w:pStyle w:val="BodyTextIndent2"/>
              <w:ind w:left="0"/>
              <w:jc w:val="center"/>
              <w:rPr>
                <w:rFonts w:ascii="Arial" w:hAnsi="Arial" w:cs="Arial"/>
                <w:b/>
              </w:rPr>
            </w:pPr>
            <w:r w:rsidRPr="003848C8">
              <w:rPr>
                <w:rFonts w:ascii="Arial" w:hAnsi="Arial" w:cs="Arial"/>
                <w:b/>
              </w:rPr>
              <w:t>Inquiries</w:t>
            </w:r>
          </w:p>
        </w:tc>
        <w:tc>
          <w:tcPr>
            <w:tcW w:w="2552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Time taken to answer query</w:t>
            </w:r>
          </w:p>
        </w:tc>
        <w:tc>
          <w:tcPr>
            <w:tcW w:w="2551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Time between initial inquiry and receipt of answer.</w:t>
            </w:r>
          </w:p>
        </w:tc>
        <w:tc>
          <w:tcPr>
            <w:tcW w:w="2831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  <w:i/>
                <w:iCs/>
              </w:rPr>
            </w:pPr>
            <w:r w:rsidRPr="00D3526E">
              <w:rPr>
                <w:rFonts w:ascii="Arial" w:hAnsi="Arial" w:cs="Arial"/>
                <w:i/>
                <w:iCs/>
              </w:rPr>
              <w:t>95% of all calls to be answered within 3 hours.</w:t>
            </w:r>
          </w:p>
        </w:tc>
        <w:tc>
          <w:tcPr>
            <w:tcW w:w="2273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Supplier</w:t>
            </w:r>
          </w:p>
        </w:tc>
      </w:tr>
      <w:tr w:rsidR="00D3526E" w:rsidRPr="00D3526E" w:rsidTr="003848C8">
        <w:trPr>
          <w:trHeight w:val="828"/>
        </w:trPr>
        <w:tc>
          <w:tcPr>
            <w:tcW w:w="2551" w:type="dxa"/>
            <w:vAlign w:val="center"/>
          </w:tcPr>
          <w:p w:rsidR="00D3526E" w:rsidRPr="003848C8" w:rsidRDefault="00D3526E" w:rsidP="003848C8">
            <w:pPr>
              <w:pStyle w:val="BodyTextIndent2"/>
              <w:ind w:left="0"/>
              <w:jc w:val="center"/>
              <w:rPr>
                <w:rFonts w:ascii="Arial" w:hAnsi="Arial" w:cs="Arial"/>
                <w:b/>
              </w:rPr>
            </w:pPr>
            <w:r w:rsidRPr="003848C8">
              <w:rPr>
                <w:rFonts w:ascii="Arial" w:hAnsi="Arial" w:cs="Arial"/>
                <w:b/>
              </w:rPr>
              <w:t>Invoicing</w:t>
            </w:r>
          </w:p>
        </w:tc>
        <w:tc>
          <w:tcPr>
            <w:tcW w:w="2552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Invoicing Accuracy</w:t>
            </w:r>
          </w:p>
        </w:tc>
        <w:tc>
          <w:tcPr>
            <w:tcW w:w="2551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Correct and complete invoice delivered within timeframe</w:t>
            </w:r>
          </w:p>
        </w:tc>
        <w:tc>
          <w:tcPr>
            <w:tcW w:w="2831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100% accuracy every month</w:t>
            </w:r>
          </w:p>
        </w:tc>
        <w:tc>
          <w:tcPr>
            <w:tcW w:w="2273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Supplier</w:t>
            </w:r>
          </w:p>
        </w:tc>
      </w:tr>
      <w:tr w:rsidR="00D3526E" w:rsidRPr="00D3526E" w:rsidTr="003848C8">
        <w:trPr>
          <w:trHeight w:val="710"/>
        </w:trPr>
        <w:tc>
          <w:tcPr>
            <w:tcW w:w="2551" w:type="dxa"/>
            <w:vAlign w:val="center"/>
          </w:tcPr>
          <w:p w:rsidR="00D3526E" w:rsidRPr="003848C8" w:rsidRDefault="00D3526E" w:rsidP="003848C8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848C8">
              <w:rPr>
                <w:rFonts w:ascii="Arial" w:hAnsi="Arial" w:cs="Arial"/>
                <w:b/>
                <w:bCs/>
              </w:rPr>
              <w:t>Cost Process Improvement</w:t>
            </w:r>
          </w:p>
        </w:tc>
        <w:tc>
          <w:tcPr>
            <w:tcW w:w="2552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Continuous Improvement</w:t>
            </w:r>
          </w:p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Annual review of costs</w:t>
            </w:r>
          </w:p>
        </w:tc>
        <w:tc>
          <w:tcPr>
            <w:tcW w:w="2831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To be assessed with volumes and market forces</w:t>
            </w:r>
          </w:p>
        </w:tc>
        <w:tc>
          <w:tcPr>
            <w:tcW w:w="2273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Purchaser</w:t>
            </w:r>
          </w:p>
        </w:tc>
      </w:tr>
      <w:tr w:rsidR="00D3526E" w:rsidRPr="00D3526E" w:rsidTr="003848C8">
        <w:trPr>
          <w:trHeight w:val="660"/>
        </w:trPr>
        <w:tc>
          <w:tcPr>
            <w:tcW w:w="2551" w:type="dxa"/>
            <w:vAlign w:val="center"/>
          </w:tcPr>
          <w:p w:rsidR="00D3526E" w:rsidRPr="003848C8" w:rsidRDefault="00D3526E" w:rsidP="003848C8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848C8">
              <w:rPr>
                <w:rFonts w:ascii="Arial" w:hAnsi="Arial" w:cs="Arial"/>
                <w:b/>
                <w:bCs/>
              </w:rPr>
              <w:t>Performance Reviews</w:t>
            </w:r>
          </w:p>
        </w:tc>
        <w:tc>
          <w:tcPr>
            <w:tcW w:w="2552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4 reviews per annum</w:t>
            </w:r>
          </w:p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Assess performance in key results area</w:t>
            </w:r>
          </w:p>
        </w:tc>
        <w:tc>
          <w:tcPr>
            <w:tcW w:w="2831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Meet  targets as agreed</w:t>
            </w:r>
          </w:p>
        </w:tc>
        <w:tc>
          <w:tcPr>
            <w:tcW w:w="2273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Purchaser</w:t>
            </w:r>
          </w:p>
        </w:tc>
      </w:tr>
      <w:tr w:rsidR="00D3526E" w:rsidRPr="00D3526E" w:rsidTr="003848C8">
        <w:trPr>
          <w:trHeight w:val="752"/>
        </w:trPr>
        <w:tc>
          <w:tcPr>
            <w:tcW w:w="2551" w:type="dxa"/>
            <w:vAlign w:val="center"/>
          </w:tcPr>
          <w:p w:rsidR="00D3526E" w:rsidRPr="003848C8" w:rsidRDefault="00D3526E" w:rsidP="003848C8">
            <w:pPr>
              <w:pStyle w:val="BodyTextIndent2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3848C8">
              <w:rPr>
                <w:rFonts w:ascii="Arial" w:hAnsi="Arial" w:cs="Arial"/>
                <w:b/>
                <w:bCs/>
              </w:rPr>
              <w:t>Monthly Reporting</w:t>
            </w:r>
          </w:p>
        </w:tc>
        <w:tc>
          <w:tcPr>
            <w:tcW w:w="2552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Provision of business  monthly report</w:t>
            </w:r>
          </w:p>
        </w:tc>
        <w:tc>
          <w:tcPr>
            <w:tcW w:w="2551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Assess performance in line with this.</w:t>
            </w:r>
          </w:p>
        </w:tc>
        <w:tc>
          <w:tcPr>
            <w:tcW w:w="2831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Meet KRA criteria and conditions</w:t>
            </w:r>
          </w:p>
        </w:tc>
        <w:tc>
          <w:tcPr>
            <w:tcW w:w="2273" w:type="dxa"/>
          </w:tcPr>
          <w:p w:rsidR="00D3526E" w:rsidRPr="00D3526E" w:rsidRDefault="00D3526E" w:rsidP="00D3526E">
            <w:pPr>
              <w:pStyle w:val="BodyTextIndent2"/>
              <w:ind w:left="0"/>
              <w:jc w:val="left"/>
              <w:rPr>
                <w:rFonts w:ascii="Arial" w:hAnsi="Arial" w:cs="Arial"/>
              </w:rPr>
            </w:pPr>
            <w:r w:rsidRPr="00D3526E">
              <w:rPr>
                <w:rFonts w:ascii="Arial" w:hAnsi="Arial" w:cs="Arial"/>
              </w:rPr>
              <w:t>Supplier</w:t>
            </w:r>
          </w:p>
        </w:tc>
      </w:tr>
    </w:tbl>
    <w:p w:rsidR="000004E7" w:rsidRPr="00D3526E" w:rsidRDefault="000004E7">
      <w:pPr>
        <w:pStyle w:val="BodyTextIndent2"/>
        <w:jc w:val="center"/>
        <w:rPr>
          <w:rFonts w:ascii="Arial" w:hAnsi="Arial" w:cs="Arial"/>
          <w:sz w:val="36"/>
          <w:u w:val="single"/>
        </w:rPr>
      </w:pPr>
    </w:p>
    <w:p w:rsidR="000004E7" w:rsidRPr="00D3526E" w:rsidRDefault="000004E7">
      <w:pPr>
        <w:pStyle w:val="BodyTextIndent2"/>
        <w:jc w:val="center"/>
        <w:rPr>
          <w:rFonts w:ascii="Arial" w:hAnsi="Arial" w:cs="Arial"/>
          <w:sz w:val="36"/>
          <w:u w:val="single"/>
        </w:rPr>
      </w:pPr>
    </w:p>
    <w:p w:rsidR="000004E7" w:rsidRPr="00D3526E" w:rsidRDefault="000004E7">
      <w:pPr>
        <w:pStyle w:val="BodyTextIndent2"/>
        <w:jc w:val="center"/>
        <w:rPr>
          <w:rFonts w:ascii="Arial" w:hAnsi="Arial" w:cs="Arial"/>
          <w:sz w:val="24"/>
          <w:u w:val="single"/>
        </w:rPr>
      </w:pPr>
    </w:p>
    <w:p w:rsidR="000004E7" w:rsidRPr="00D3526E" w:rsidRDefault="000004E7">
      <w:pPr>
        <w:pStyle w:val="BodyTextIndent2"/>
        <w:jc w:val="center"/>
        <w:rPr>
          <w:rFonts w:ascii="Arial" w:hAnsi="Arial" w:cs="Arial"/>
          <w:sz w:val="24"/>
          <w:u w:val="single"/>
        </w:rPr>
      </w:pPr>
    </w:p>
    <w:p w:rsidR="000004E7" w:rsidRPr="00D3526E" w:rsidRDefault="000004E7">
      <w:pPr>
        <w:pStyle w:val="BodyTextIndent2"/>
        <w:jc w:val="center"/>
        <w:rPr>
          <w:rFonts w:ascii="Arial" w:hAnsi="Arial" w:cs="Arial"/>
          <w:sz w:val="24"/>
          <w:u w:val="single"/>
        </w:rPr>
      </w:pPr>
      <w:bookmarkStart w:id="0" w:name="_GoBack"/>
      <w:bookmarkEnd w:id="0"/>
    </w:p>
    <w:sectPr w:rsidR="000004E7" w:rsidRPr="00D3526E" w:rsidSect="00F61FDE">
      <w:pgSz w:w="16838" w:h="11906" w:orient="landscape"/>
      <w:pgMar w:top="1276" w:right="1440" w:bottom="1440" w:left="1440" w:header="708" w:footer="708" w:gutter="0"/>
      <w:pgBorders w:offsetFrom="page">
        <w:top w:val="single" w:sz="36" w:space="24" w:color="323E4F" w:themeColor="text2" w:themeShade="BF"/>
        <w:left w:val="single" w:sz="36" w:space="24" w:color="323E4F" w:themeColor="text2" w:themeShade="BF"/>
        <w:bottom w:val="single" w:sz="36" w:space="24" w:color="323E4F" w:themeColor="text2" w:themeShade="BF"/>
        <w:right w:val="single" w:sz="36" w:space="24" w:color="323E4F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E7" w:rsidRDefault="000004E7">
      <w:r>
        <w:separator/>
      </w:r>
    </w:p>
  </w:endnote>
  <w:endnote w:type="continuationSeparator" w:id="0">
    <w:p w:rsidR="000004E7" w:rsidRDefault="0000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65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E7" w:rsidRDefault="000004E7">
      <w:r>
        <w:separator/>
      </w:r>
    </w:p>
  </w:footnote>
  <w:footnote w:type="continuationSeparator" w:id="0">
    <w:p w:rsidR="000004E7" w:rsidRDefault="00000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F8"/>
    <w:rsid w:val="000004E7"/>
    <w:rsid w:val="003848C8"/>
    <w:rsid w:val="004F68FE"/>
    <w:rsid w:val="00830F44"/>
    <w:rsid w:val="00903EF8"/>
    <w:rsid w:val="00D3526E"/>
    <w:rsid w:val="00F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D5E4A-72F5-47EC-B44D-A3291077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1440"/>
      <w:outlineLvl w:val="0"/>
    </w:pPr>
    <w:rPr>
      <w:rFonts w:ascii="Helvetica 65 Medium" w:hAnsi="Helvetica 65 Medium" w:cs="Arial"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Helvetica 45 Light" w:hAnsi="Helvetica 45 Light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61F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FD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</vt:lpstr>
    </vt:vector>
  </TitlesOfParts>
  <Company>Macquarie Bank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 sample</dc:title>
  <dc:subject/>
  <dc:creator>office@asca.com.au</dc:creator>
  <cp:keywords/>
  <cp:lastModifiedBy>Gerard Kemp</cp:lastModifiedBy>
  <cp:revision>6</cp:revision>
  <cp:lastPrinted>2001-01-25T02:28:00Z</cp:lastPrinted>
  <dcterms:created xsi:type="dcterms:W3CDTF">2014-03-12T23:48:00Z</dcterms:created>
  <dcterms:modified xsi:type="dcterms:W3CDTF">2014-05-01T00:51:00Z</dcterms:modified>
</cp:coreProperties>
</file>